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6C" w:rsidRPr="0069436C" w:rsidRDefault="0069436C" w:rsidP="0069436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F4761"/>
          <w:sz w:val="20"/>
          <w:szCs w:val="20"/>
          <w:lang w:val="es-MX"/>
        </w:rPr>
      </w:pPr>
      <w:r w:rsidRPr="0069436C">
        <w:rPr>
          <w:rStyle w:val="normaltextrun"/>
          <w:rFonts w:ascii="Arial" w:hAnsi="Arial" w:cs="Arial"/>
          <w:color w:val="0F4761"/>
          <w:sz w:val="20"/>
          <w:szCs w:val="20"/>
          <w:lang w:val="es-ES"/>
        </w:rPr>
        <w:t>Subred Sur Occidente</w:t>
      </w:r>
    </w:p>
    <w:p w:rsidR="00E66809" w:rsidRPr="00762AE7" w:rsidRDefault="00E66809" w:rsidP="00E6680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 w:rsidRPr="00762AE7">
        <w:rPr>
          <w:rStyle w:val="normaltextrun"/>
          <w:rFonts w:ascii="Arial" w:hAnsi="Arial" w:cs="Arial"/>
          <w:sz w:val="20"/>
          <w:szCs w:val="20"/>
          <w:lang w:val="es-ES"/>
        </w:rPr>
        <w:t>P</w:t>
      </w:r>
      <w:r w:rsidR="004749A3">
        <w:rPr>
          <w:rStyle w:val="normaltextrun"/>
          <w:rFonts w:ascii="Arial" w:hAnsi="Arial" w:cs="Arial"/>
          <w:sz w:val="20"/>
          <w:szCs w:val="20"/>
          <w:lang w:val="es-ES"/>
        </w:rPr>
        <w:t>eriodicidad: 01 al 31</w:t>
      </w: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 de </w:t>
      </w:r>
      <w:r w:rsidR="004749A3">
        <w:rPr>
          <w:rStyle w:val="normaltextrun"/>
          <w:rFonts w:ascii="Arial" w:hAnsi="Arial" w:cs="Arial"/>
          <w:sz w:val="20"/>
          <w:szCs w:val="20"/>
          <w:lang w:val="es-ES"/>
        </w:rPr>
        <w:t>mayo</w:t>
      </w: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 de 2026</w:t>
      </w:r>
    </w:p>
    <w:p w:rsidR="00505068" w:rsidRDefault="0069436C" w:rsidP="0069436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  <w:lang w:val="es-ES"/>
        </w:rPr>
      </w:pPr>
      <w:r w:rsidRPr="0069436C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Actividad 4. Gestión y análisis de la información geográfica:</w:t>
      </w:r>
    </w:p>
    <w:p w:rsidR="00505068" w:rsidRDefault="00505068" w:rsidP="0069436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  <w:lang w:val="es-ES"/>
        </w:rPr>
      </w:pPr>
    </w:p>
    <w:p w:rsidR="0069436C" w:rsidRPr="00505068" w:rsidRDefault="00505068" w:rsidP="0069436C">
      <w:pPr>
        <w:pStyle w:val="paragraph"/>
        <w:spacing w:before="0" w:beforeAutospacing="0" w:after="0" w:afterAutospacing="0"/>
        <w:textAlignment w:val="baseline"/>
        <w:rPr>
          <w:rStyle w:val="normaltextrun"/>
          <w:b/>
        </w:rPr>
      </w:pPr>
      <w:r w:rsidRPr="00505068">
        <w:rPr>
          <w:rStyle w:val="normaltextrun"/>
          <w:rFonts w:ascii="Arial" w:hAnsi="Arial" w:cs="Arial"/>
          <w:b/>
          <w:sz w:val="20"/>
          <w:szCs w:val="20"/>
          <w:lang w:val="es-ES"/>
        </w:rPr>
        <w:t>Cumple</w:t>
      </w:r>
      <w:r w:rsidR="0069436C" w:rsidRPr="00505068">
        <w:rPr>
          <w:rStyle w:val="normaltextrun"/>
          <w:b/>
        </w:rPr>
        <w:t> </w:t>
      </w: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En la revisión de los entregables que radicó el componen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te espacial para el mes de </w:t>
      </w:r>
      <w:r w:rsidR="004749A3">
        <w:rPr>
          <w:rStyle w:val="normaltextrun"/>
          <w:rFonts w:eastAsia="Times New Roman" w:cs="Arial"/>
          <w:kern w:val="0"/>
          <w:lang w:val="es-MX"/>
          <w14:ligatures w14:val="none"/>
        </w:rPr>
        <w:t>mayo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de 2026 se encuentra lo siguiente.</w:t>
      </w: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b/>
          <w:kern w:val="0"/>
          <w:lang w:val="es-MX"/>
          <w14:ligatures w14:val="none"/>
        </w:rPr>
      </w:pP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  <w:proofErr w:type="spellStart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Subactividad</w:t>
      </w:r>
      <w:proofErr w:type="spellEnd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 xml:space="preserve"> 1: </w:t>
      </w:r>
      <w:proofErr w:type="spellStart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Geocodificación</w:t>
      </w:r>
      <w:proofErr w:type="spellEnd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, georreferenciación y consolidación de información geográfica para el análisis en salud pública local.</w:t>
      </w:r>
    </w:p>
    <w:p w:rsidR="00EA2304" w:rsidRPr="0069436C" w:rsidRDefault="00EA2304" w:rsidP="00063E23">
      <w:pPr>
        <w:pStyle w:val="Textocomentario"/>
        <w:spacing w:after="0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Soporte relacionado con el apadrinamiento al entorno de Más Bienestar Educativo </w:t>
      </w:r>
      <w:r w:rsidR="001C5190">
        <w:rPr>
          <w:rStyle w:val="normaltextrun"/>
          <w:rFonts w:eastAsia="Times New Roman" w:cs="Arial"/>
          <w:kern w:val="0"/>
          <w:lang w:val="es-MX"/>
          <w14:ligatures w14:val="none"/>
        </w:rPr>
        <w:t>y Más Bienestar Laboral</w:t>
      </w:r>
      <w:r w:rsidR="001C5190"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evidenciado por med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>io de actas de articulación.</w:t>
      </w:r>
      <w:r w:rsidR="00730692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</w:t>
      </w: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Se evidencia soportes de validación y organización de información geográfica de una base </w:t>
      </w:r>
      <w:r w:rsidR="00730692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tratada en el </w:t>
      </w:r>
      <w:r w:rsidR="001C5190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mes de </w:t>
      </w:r>
      <w:r w:rsidR="004749A3">
        <w:rPr>
          <w:rStyle w:val="normaltextrun"/>
          <w:rFonts w:eastAsia="Times New Roman" w:cs="Arial"/>
          <w:kern w:val="0"/>
          <w:lang w:val="es-MX"/>
          <w14:ligatures w14:val="none"/>
        </w:rPr>
        <w:t>mayo</w:t>
      </w:r>
      <w:r w:rsidR="001C5190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de </w:t>
      </w:r>
      <w:r w:rsidR="00730692">
        <w:rPr>
          <w:rStyle w:val="normaltextrun"/>
          <w:rFonts w:eastAsia="Times New Roman" w:cs="Arial"/>
          <w:kern w:val="0"/>
          <w:lang w:val="es-MX"/>
          <w14:ligatures w14:val="none"/>
        </w:rPr>
        <w:t>2026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>.</w:t>
      </w: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FF1A87" w:rsidRPr="0069436C" w:rsidRDefault="00FF1A87" w:rsidP="00FF1A87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>
        <w:rPr>
          <w:rStyle w:val="normaltextrun"/>
          <w:rFonts w:eastAsia="Times New Roman" w:cs="Arial"/>
          <w:kern w:val="0"/>
          <w:lang w:val="es-MX"/>
          <w14:ligatures w14:val="none"/>
        </w:rPr>
        <w:t>L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a estructura en que se organizaron las variables espaciales es acorde a la solicitada, por otro lado, al revisar el formato de reporte de hallazgos se evidencia el desarrollo del mismo bajo los parámetros indicados desde nivel central.</w:t>
      </w:r>
    </w:p>
    <w:p w:rsidR="00FF1A87" w:rsidRDefault="00FF1A87" w:rsidP="00FF1A87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Se observa el formato de capas y mapas construido en base a los productos cartográficos desarrollados</w:t>
      </w:r>
      <w:r w:rsidR="004749A3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durante el mes de mayo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.</w:t>
      </w:r>
    </w:p>
    <w:p w:rsidR="00FF1A87" w:rsidRDefault="00FF1A87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063E23" w:rsidRDefault="00FF1A87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Por </w:t>
      </w:r>
      <w:r w:rsidR="00EA2304">
        <w:rPr>
          <w:rStyle w:val="normaltextrun"/>
          <w:rFonts w:eastAsia="Times New Roman" w:cs="Arial"/>
          <w:kern w:val="0"/>
          <w:lang w:val="es-MX"/>
          <w14:ligatures w14:val="none"/>
        </w:rPr>
        <w:t>último,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</w:t>
      </w:r>
      <w:r w:rsidR="004749A3">
        <w:rPr>
          <w:rStyle w:val="normaltextrun"/>
          <w:rFonts w:eastAsia="Times New Roman" w:cs="Arial"/>
          <w:kern w:val="0"/>
          <w:lang w:val="es-MX"/>
          <w14:ligatures w14:val="none"/>
        </w:rPr>
        <w:t>se observan las cartografías de procesamiento de información geográfica para la actividad 4.</w:t>
      </w:r>
      <w:r w:rsidR="00EA2304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</w:t>
      </w:r>
    </w:p>
    <w:p w:rsidR="007E4FB1" w:rsidRDefault="007E4FB1" w:rsidP="0069436C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69436C" w:rsidRPr="00F84AFB" w:rsidRDefault="0069436C" w:rsidP="0069436C">
      <w:pPr>
        <w:pStyle w:val="Textocomentario"/>
        <w:spacing w:after="0"/>
        <w:rPr>
          <w:rFonts w:cs="Arial"/>
          <w:b/>
          <w:bCs/>
        </w:rPr>
      </w:pPr>
      <w:proofErr w:type="spellStart"/>
      <w:r w:rsidRPr="00F84AFB">
        <w:rPr>
          <w:rStyle w:val="normaltextrun"/>
          <w:rFonts w:eastAsia="Times New Roman" w:cs="Arial"/>
          <w:b/>
          <w:kern w:val="0"/>
          <w14:ligatures w14:val="none"/>
        </w:rPr>
        <w:t>Subactividad</w:t>
      </w:r>
      <w:proofErr w:type="spellEnd"/>
      <w:r w:rsidRPr="00F84AFB">
        <w:rPr>
          <w:rStyle w:val="normaltextrun"/>
          <w:rFonts w:eastAsia="Times New Roman" w:cs="Arial"/>
          <w:b/>
          <w:kern w:val="0"/>
          <w14:ligatures w14:val="none"/>
        </w:rPr>
        <w:t xml:space="preserve"> 3:</w:t>
      </w:r>
      <w:r w:rsidRPr="00F84AFB">
        <w:rPr>
          <w:rStyle w:val="normaltextrun"/>
          <w:rFonts w:eastAsia="Times New Roman" w:cs="Arial"/>
          <w:kern w:val="0"/>
          <w14:ligatures w14:val="none"/>
        </w:rPr>
        <w:t xml:space="preserve"> </w:t>
      </w:r>
      <w:r w:rsidRPr="00F84AFB">
        <w:rPr>
          <w:rFonts w:cs="Arial"/>
          <w:b/>
          <w:bCs/>
        </w:rPr>
        <w:t>Análisis geoespacial del componente geográfico</w:t>
      </w:r>
    </w:p>
    <w:p w:rsidR="001C1C71" w:rsidRPr="00F84AFB" w:rsidRDefault="001C1C71" w:rsidP="00163E77">
      <w:pPr>
        <w:pStyle w:val="Textocomentario"/>
        <w:spacing w:after="0"/>
        <w:rPr>
          <w:rStyle w:val="Hipervnculo"/>
          <w:rFonts w:cs="Arial"/>
        </w:rPr>
      </w:pPr>
    </w:p>
    <w:p w:rsidR="0015269F" w:rsidRPr="00B316FA" w:rsidRDefault="0015269F" w:rsidP="0015269F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Con base en la revisión del cuarto avance del Documento de Análisis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Multitemporal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y el Concepto Técnico de mayo de 2026, se identifican los siguientes avances y brechas estructurales:</w:t>
      </w:r>
    </w:p>
    <w:p w:rsidR="0015269F" w:rsidRPr="00B316FA" w:rsidRDefault="00864119" w:rsidP="0015269F">
      <w:pPr>
        <w:spacing w:before="40" w:after="40"/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A</w:t>
      </w:r>
      <w:r w:rsidRPr="00B316FA">
        <w:rPr>
          <w:rFonts w:ascii="Arial" w:hAnsi="Arial" w:cs="Arial"/>
          <w:sz w:val="20"/>
          <w:szCs w:val="20"/>
          <w:lang w:val="es-CO"/>
        </w:rPr>
        <w:t>vances consolidados</w:t>
      </w:r>
      <w:r w:rsidR="0015269F" w:rsidRPr="00B316FA">
        <w:rPr>
          <w:rFonts w:ascii="Arial" w:hAnsi="Arial" w:cs="Arial"/>
          <w:sz w:val="20"/>
          <w:szCs w:val="20"/>
          <w:lang w:val="es-CO"/>
        </w:rPr>
        <w:t>: El documento presenta sólida fundamentación metodológica en tres fases secuenciales; uso combinado de clasificación supervisada (</w:t>
      </w:r>
      <w:proofErr w:type="spellStart"/>
      <w:r w:rsidR="0015269F" w:rsidRPr="00B316FA">
        <w:rPr>
          <w:rFonts w:ascii="Arial" w:hAnsi="Arial" w:cs="Arial"/>
          <w:sz w:val="20"/>
          <w:szCs w:val="20"/>
          <w:lang w:val="es-CO"/>
        </w:rPr>
        <w:t>Random</w:t>
      </w:r>
      <w:proofErr w:type="spellEnd"/>
      <w:r w:rsidR="0015269F" w:rsidRPr="00B316FA">
        <w:rPr>
          <w:rFonts w:ascii="Arial" w:hAnsi="Arial" w:cs="Arial"/>
          <w:sz w:val="20"/>
          <w:szCs w:val="20"/>
          <w:lang w:val="es-CO"/>
        </w:rPr>
        <w:t xml:space="preserve"> </w:t>
      </w:r>
      <w:proofErr w:type="spellStart"/>
      <w:r w:rsidR="0015269F" w:rsidRPr="00B316FA">
        <w:rPr>
          <w:rFonts w:ascii="Arial" w:hAnsi="Arial" w:cs="Arial"/>
          <w:sz w:val="20"/>
          <w:szCs w:val="20"/>
          <w:lang w:val="es-CO"/>
        </w:rPr>
        <w:t>Forest</w:t>
      </w:r>
      <w:proofErr w:type="spellEnd"/>
      <w:r w:rsidR="0015269F" w:rsidRPr="00B316FA">
        <w:rPr>
          <w:rFonts w:ascii="Arial" w:hAnsi="Arial" w:cs="Arial"/>
          <w:sz w:val="20"/>
          <w:szCs w:val="20"/>
          <w:lang w:val="es-CO"/>
        </w:rPr>
        <w:t>) y no supervisada (ISODATA/K-</w:t>
      </w:r>
      <w:proofErr w:type="spellStart"/>
      <w:r w:rsidR="0015269F" w:rsidRPr="00B316FA">
        <w:rPr>
          <w:rFonts w:ascii="Arial" w:hAnsi="Arial" w:cs="Arial"/>
          <w:sz w:val="20"/>
          <w:szCs w:val="20"/>
          <w:lang w:val="es-CO"/>
        </w:rPr>
        <w:t>means</w:t>
      </w:r>
      <w:proofErr w:type="spellEnd"/>
      <w:r w:rsidR="0015269F" w:rsidRPr="00B316FA">
        <w:rPr>
          <w:rFonts w:ascii="Arial" w:hAnsi="Arial" w:cs="Arial"/>
          <w:sz w:val="20"/>
          <w:szCs w:val="20"/>
          <w:lang w:val="es-CO"/>
        </w:rPr>
        <w:t xml:space="preserve">); fotointerpretación en Google </w:t>
      </w:r>
      <w:proofErr w:type="spellStart"/>
      <w:r w:rsidR="0015269F" w:rsidRPr="00B316FA">
        <w:rPr>
          <w:rFonts w:ascii="Arial" w:hAnsi="Arial" w:cs="Arial"/>
          <w:sz w:val="20"/>
          <w:szCs w:val="20"/>
          <w:lang w:val="es-CO"/>
        </w:rPr>
        <w:t>Earth</w:t>
      </w:r>
      <w:proofErr w:type="spellEnd"/>
      <w:r w:rsidR="0015269F" w:rsidRPr="00B316FA">
        <w:rPr>
          <w:rFonts w:ascii="Arial" w:hAnsi="Arial" w:cs="Arial"/>
          <w:sz w:val="20"/>
          <w:szCs w:val="20"/>
          <w:lang w:val="es-CO"/>
        </w:rPr>
        <w:t xml:space="preserve"> para 2018, 2020 y 2024; articulación con el Jardín Botánico de Bogotá como fuente primaria de cobertura vegetal; integración de mutaciones catastrales (número de pisos por manzana, uso predominante); y articulación del nuevo POT como marco prospectivo. Las dimensiones </w:t>
      </w:r>
      <w:proofErr w:type="spellStart"/>
      <w:r w:rsidR="0015269F" w:rsidRPr="00B316FA">
        <w:rPr>
          <w:rFonts w:ascii="Arial" w:hAnsi="Arial" w:cs="Arial"/>
          <w:sz w:val="20"/>
          <w:szCs w:val="20"/>
          <w:lang w:val="es-CO"/>
        </w:rPr>
        <w:t>Geosistema</w:t>
      </w:r>
      <w:proofErr w:type="spellEnd"/>
      <w:r w:rsidR="0015269F" w:rsidRPr="00B316FA">
        <w:rPr>
          <w:rFonts w:ascii="Arial" w:hAnsi="Arial" w:cs="Arial"/>
          <w:sz w:val="20"/>
          <w:szCs w:val="20"/>
          <w:lang w:val="es-CO"/>
        </w:rPr>
        <w:t xml:space="preserve"> y Territorio del modelo GTP cuentan con avances sustanciales.</w:t>
      </w:r>
    </w:p>
    <w:p w:rsidR="0015269F" w:rsidRPr="00B316FA" w:rsidRDefault="0015269F" w:rsidP="0015269F">
      <w:pPr>
        <w:spacing w:before="40" w:after="40"/>
        <w:jc w:val="both"/>
        <w:rPr>
          <w:rFonts w:ascii="Arial" w:hAnsi="Arial" w:cs="Arial"/>
          <w:sz w:val="20"/>
          <w:szCs w:val="20"/>
          <w:lang w:val="es-CO"/>
        </w:rPr>
      </w:pPr>
      <w:r w:rsidRPr="00864119">
        <w:rPr>
          <w:rFonts w:ascii="Arial" w:hAnsi="Arial" w:cs="Arial"/>
          <w:b/>
          <w:sz w:val="20"/>
          <w:szCs w:val="20"/>
          <w:lang w:val="es-CO"/>
        </w:rPr>
        <w:t>Pendientes</w:t>
      </w:r>
      <w:r w:rsidRPr="00B316FA">
        <w:rPr>
          <w:rFonts w:ascii="Arial" w:hAnsi="Arial" w:cs="Arial"/>
          <w:sz w:val="20"/>
          <w:szCs w:val="20"/>
          <w:lang w:val="es-CO"/>
        </w:rPr>
        <w:t xml:space="preserve">: empezar a </w:t>
      </w:r>
      <w:r w:rsidR="00864119">
        <w:rPr>
          <w:rFonts w:ascii="Arial" w:hAnsi="Arial" w:cs="Arial"/>
          <w:sz w:val="20"/>
          <w:szCs w:val="20"/>
          <w:lang w:val="es-CO"/>
        </w:rPr>
        <w:t>organiza</w:t>
      </w:r>
      <w:r w:rsidRPr="00B316FA">
        <w:rPr>
          <w:rFonts w:ascii="Arial" w:hAnsi="Arial" w:cs="Arial"/>
          <w:sz w:val="20"/>
          <w:szCs w:val="20"/>
          <w:lang w:val="es-CO"/>
        </w:rPr>
        <w:t xml:space="preserve">r </w:t>
      </w:r>
      <w:r w:rsidR="00864119" w:rsidRPr="00B316FA">
        <w:rPr>
          <w:rFonts w:ascii="Arial" w:hAnsi="Arial" w:cs="Arial"/>
          <w:sz w:val="20"/>
          <w:szCs w:val="20"/>
          <w:lang w:val="es-CO"/>
        </w:rPr>
        <w:t>según</w:t>
      </w:r>
      <w:r w:rsidRPr="00B316FA">
        <w:rPr>
          <w:rFonts w:ascii="Arial" w:hAnsi="Arial" w:cs="Arial"/>
          <w:sz w:val="20"/>
          <w:szCs w:val="20"/>
          <w:lang w:val="es-CO"/>
        </w:rPr>
        <w:t xml:space="preserve"> dimensiones del modelo GTP en la sección de Resultados, explotar el acervo de transcripciones y observaciones de campo ofrece base suficiente.</w:t>
      </w:r>
    </w:p>
    <w:p w:rsidR="00864119" w:rsidRPr="00B316FA" w:rsidRDefault="0015269F" w:rsidP="0015269F">
      <w:pPr>
        <w:spacing w:before="40" w:after="4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hAnsi="Arial" w:cs="Arial"/>
          <w:sz w:val="20"/>
          <w:szCs w:val="20"/>
          <w:lang w:val="es-CO"/>
        </w:rPr>
        <w:t>Los subtemas 'Número de pisos por manzana' y 'Uso predominante por manzana' carecen de resultados articulados con sus mapas.</w:t>
      </w:r>
    </w:p>
    <w:p w:rsidR="0015269F" w:rsidRPr="00B316FA" w:rsidRDefault="0015269F" w:rsidP="0015269F">
      <w:pPr>
        <w:spacing w:before="40" w:after="4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hAnsi="Arial" w:cs="Arial"/>
          <w:sz w:val="20"/>
          <w:szCs w:val="20"/>
          <w:lang w:val="es-CO"/>
        </w:rPr>
        <w:t xml:space="preserve">Articular los hallazgos de campo (Etapas 3 y 4) con los análisis cuantitativos previos (Etapas 1 a 3) y comenzar a evidenciar la triangulación metodológica en el marco del modelo GTP. Esta articulación debe quedar explícita en el documento como demostración de coherencia entre el análisis espectral de coberturas, el </w:t>
      </w:r>
      <w:proofErr w:type="spellStart"/>
      <w:r w:rsidRPr="00B316FA">
        <w:rPr>
          <w:rFonts w:ascii="Arial" w:hAnsi="Arial" w:cs="Arial"/>
          <w:sz w:val="20"/>
          <w:szCs w:val="20"/>
          <w:lang w:val="es-CO"/>
        </w:rPr>
        <w:t>geoprocesamiento</w:t>
      </w:r>
      <w:proofErr w:type="spellEnd"/>
      <w:r w:rsidRPr="00B316FA">
        <w:rPr>
          <w:rFonts w:ascii="Arial" w:hAnsi="Arial" w:cs="Arial"/>
          <w:sz w:val="20"/>
          <w:szCs w:val="20"/>
          <w:lang w:val="es-CO"/>
        </w:rPr>
        <w:t xml:space="preserve"> vectorial y el trabajo de campo etnográfico.</w:t>
      </w:r>
    </w:p>
    <w:p w:rsidR="0015269F" w:rsidRPr="00B316FA" w:rsidRDefault="0015269F" w:rsidP="0015269F">
      <w:pPr>
        <w:spacing w:before="40" w:after="40"/>
        <w:jc w:val="both"/>
        <w:rPr>
          <w:rFonts w:ascii="Arial" w:hAnsi="Arial" w:cs="Arial"/>
          <w:sz w:val="20"/>
          <w:szCs w:val="20"/>
          <w:lang w:val="es-CO"/>
        </w:rPr>
      </w:pPr>
    </w:p>
    <w:p w:rsidR="0015269F" w:rsidRPr="00B316FA" w:rsidRDefault="0015269F" w:rsidP="0015269F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lastRenderedPageBreak/>
        <w:t xml:space="preserve">La triangulación metodológica en el marco GTP implica que cada hallazgo identificado en el componente Paisaje (observaciones de campo, recorridos territoriales, entrevistas) debe contrastarse con los indicadores cuantitativos del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Geosistema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(índices espectrales, coberturas, estructura ecológica) y del Territorio (estratificación, IPM, mutaciones catastrales, equipamientos). Esta convergencia de evidencias fortalece la validez del análisis y su pertinencia para la salud pública.</w:t>
      </w:r>
    </w:p>
    <w:p w:rsidR="0015269F" w:rsidRPr="00B316FA" w:rsidRDefault="0015269F" w:rsidP="0015269F">
      <w:pPr>
        <w:spacing w:before="80" w:after="120"/>
        <w:jc w:val="both"/>
        <w:rPr>
          <w:rFonts w:ascii="Arial" w:eastAsia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>Se recomienda iniciar ejercicios paralelos que incorporen situaciones e indicadores de salud priorizados para la Subred Sur Occidente, en articulación con los tres componentes del modelo GTP. Este ejercicio de síntesis constituye el núc</w:t>
      </w:r>
      <w:r w:rsidRPr="00B316FA">
        <w:rPr>
          <w:rFonts w:ascii="Arial" w:eastAsia="Arial" w:hAnsi="Arial" w:cs="Arial"/>
          <w:sz w:val="20"/>
          <w:szCs w:val="20"/>
          <w:lang w:val="es-CO"/>
        </w:rPr>
        <w:t>leo analítico del documento</w:t>
      </w:r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y debe conectar explícitamente las transformaciones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socioespaciales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detectadas con los determinantes sociales de la salud identificados en campo.</w:t>
      </w:r>
    </w:p>
    <w:p w:rsidR="0015269F" w:rsidRPr="00B316FA" w:rsidRDefault="0015269F" w:rsidP="0015269F">
      <w:pPr>
        <w:spacing w:before="80" w:after="120"/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B316FA">
        <w:rPr>
          <w:rFonts w:ascii="Arial" w:hAnsi="Arial" w:cs="Arial"/>
          <w:b/>
          <w:sz w:val="20"/>
          <w:szCs w:val="20"/>
          <w:lang w:val="es-CO"/>
        </w:rPr>
        <w:t>Encuesta Multipropósito como fuente complementaria de indicadores sociales</w:t>
      </w:r>
    </w:p>
    <w:p w:rsidR="0015269F" w:rsidRPr="00B316FA" w:rsidRDefault="0015269F" w:rsidP="0015269F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hAnsi="Arial" w:cs="Arial"/>
          <w:sz w:val="20"/>
          <w:szCs w:val="20"/>
          <w:lang w:val="es-CO"/>
        </w:rPr>
        <w:t>Se recomienda incorporar la Encuesta Multipropósito de Bogotá (ediciones 2011, 2014, 2017 y 2021) como fuente complementaria para la caracterización de los determinantes sociales de la salud en el período de análisis 2014-2025. Esta fuente permite construir series temporales de indicadores socioeconómicos por UPZ, que se articulan directamente con los análisis del componente Territorio del modelo GTP.</w:t>
      </w:r>
    </w:p>
    <w:p w:rsidR="0015269F" w:rsidRPr="00B316FA" w:rsidRDefault="0015269F" w:rsidP="0015269F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hAnsi="Arial" w:cs="Arial"/>
          <w:sz w:val="20"/>
          <w:szCs w:val="20"/>
          <w:lang w:val="es-CO"/>
        </w:rPr>
        <w:t>Fuente de descarga — Encuesta Multipropósito Bogotá: https://experience.arcgis.com/experience/dfa5a8a94d9547d1a4336e6975a13c0d/page/Descarga-de-datos  Indicadores recomendados por UPZ: índice de pobreza multidimensional (IPM), hacinamiento, acceso a servicios públicos domiciliarios, nivel educativo, tasa de ocupación, acceso a servicios de salud. Permite construir líneas de base 2011 y 2014 para comparación con hallazgos de campo 2024-2025.</w:t>
      </w:r>
    </w:p>
    <w:p w:rsidR="00BA79CB" w:rsidRPr="00B316FA" w:rsidRDefault="0015269F" w:rsidP="00F5430F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Se recomienda realizar una revisión terminológica integral del documento para sustituir la expresión 'cambios en el uso del suelo' por 'transformaciones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socioespaciales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>', en coherencia con el marco conceptual del modelo GTP y los Determinantes Sociales de la Salud. Este ajuste no es cosmético: refleja un enfoque que supera la clasificación técnica de coberturas para incorporar las dimensiones sociales, económicas y culturales del territorio.</w:t>
      </w:r>
      <w:r w:rsidR="00F5430F">
        <w:rPr>
          <w:rFonts w:ascii="Arial" w:hAnsi="Arial" w:cs="Arial"/>
          <w:sz w:val="20"/>
          <w:szCs w:val="20"/>
          <w:lang w:val="es-CO"/>
        </w:rPr>
        <w:t xml:space="preserve"> </w:t>
      </w:r>
      <w:r w:rsidRPr="00B316FA">
        <w:rPr>
          <w:rFonts w:ascii="Arial" w:hAnsi="Arial" w:cs="Arial"/>
          <w:sz w:val="20"/>
          <w:szCs w:val="20"/>
          <w:lang w:val="es-CO"/>
        </w:rPr>
        <w:t>Revisar el título del documento para que refleje el enfoque GTP y la articulación salud-territorio</w:t>
      </w:r>
    </w:p>
    <w:p w:rsidR="00BA79CB" w:rsidRPr="00B316FA" w:rsidRDefault="00BA79CB" w:rsidP="00BA79CB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b/>
          <w:sz w:val="20"/>
          <w:szCs w:val="20"/>
          <w:lang w:val="es-CO"/>
        </w:rPr>
        <w:t xml:space="preserve">El componente </w:t>
      </w:r>
      <w:proofErr w:type="spellStart"/>
      <w:r w:rsidRPr="00B316FA">
        <w:rPr>
          <w:rFonts w:ascii="Arial" w:eastAsia="Arial" w:hAnsi="Arial" w:cs="Arial"/>
          <w:b/>
          <w:sz w:val="20"/>
          <w:szCs w:val="20"/>
          <w:lang w:val="es-CO"/>
        </w:rPr>
        <w:t>Geosistema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comprende los elementos biofísicos del territorio: coberturas del suelo, estructura ecológica principal, calidad ambiental, cuerpos de agua e índices espectrales derivados de imágenes satelitales. El análisis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multitemporal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2014-2025 para la Subred Sur Occidente presenta avances significativos en este componente, con hallazgos diferenciados por localidad que deben articularse explícitamente con la salud pública.</w:t>
      </w:r>
    </w:p>
    <w:p w:rsidR="00BA79CB" w:rsidRPr="00B316FA" w:rsidRDefault="00BA79CB" w:rsidP="00BA79CB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>La metodología actual (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Random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Forest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+ ISODATA/K-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means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+ fotointerpretación Google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Earth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+ Jardín Botánico) constituye una base robusta. Se recomienda </w:t>
      </w:r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evaluar la pertinencia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segun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las problemáticas y </w:t>
      </w:r>
      <w:r w:rsidRPr="00B316FA">
        <w:rPr>
          <w:rFonts w:ascii="Arial" w:eastAsia="Arial" w:hAnsi="Arial" w:cs="Arial"/>
          <w:sz w:val="20"/>
          <w:szCs w:val="20"/>
          <w:lang w:val="es-CO"/>
        </w:rPr>
        <w:t>complementarla con las siguientes fuentes para fortalecer la articulación entre transformaciones de cobertura y salud: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5"/>
        <w:gridCol w:w="5623"/>
      </w:tblGrid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es-CO"/>
              </w:rPr>
              <w:t>Fuente complementaria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es-CO"/>
              </w:rPr>
              <w:t xml:space="preserve">Aporte al análisis </w:t>
            </w:r>
            <w:proofErr w:type="spellStart"/>
            <w:r w:rsidRPr="00B316FA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es-CO"/>
              </w:rPr>
              <w:t>Geosistema</w:t>
            </w:r>
            <w:proofErr w:type="spellEnd"/>
            <w:r w:rsidRPr="00B316FA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es-CO"/>
              </w:rPr>
              <w:t>-Salud</w:t>
            </w:r>
          </w:p>
        </w:tc>
      </w:tr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lastRenderedPageBreak/>
              <w:t>PM10 / PM2.5 — Visor Ambiental Secretaría de Ambiente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Datos históricos de calidad del aire por estación para Bosa, Kennedy, Fontibón y Puente Aranda. Permite articular zonas de contaminación atmosférica con áreas de alta densidad residencial e industrial.</w:t>
            </w:r>
          </w:p>
        </w:tc>
      </w:tr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Indicador de Espacio Público Efectivo (EPE) — Observatorio de Espacio Público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Cuantificación de EPE por UPZ para los años de análisis. Permite evidenciar déficits y su relación con enfermedades crónicas no transmisibles, salud mental y actividad física.</w:t>
            </w:r>
          </w:p>
        </w:tc>
      </w:tr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Capas </w:t>
            </w:r>
            <w:proofErr w:type="spellStart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hidológicas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 — EEP Bogotá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Delimitación actualizada de rondas hídricas, riesgo de inundación y zonas de protección ambiental para ríos Fucha, Tunjuelo y Bogotá, y humedales </w:t>
            </w:r>
            <w:proofErr w:type="spellStart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Tingua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 Azul e </w:t>
            </w:r>
            <w:proofErr w:type="spellStart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Hyntiba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.</w:t>
            </w:r>
          </w:p>
        </w:tc>
      </w:tr>
    </w:tbl>
    <w:p w:rsidR="00BA79CB" w:rsidRDefault="00BA79CB" w:rsidP="0015269F">
      <w:pPr>
        <w:spacing w:before="60" w:after="80"/>
        <w:jc w:val="both"/>
      </w:pPr>
    </w:p>
    <w:p w:rsidR="00BA79CB" w:rsidRPr="00B316FA" w:rsidRDefault="00BA79CB" w:rsidP="00BA79CB">
      <w:pPr>
        <w:spacing w:before="80" w:after="120"/>
        <w:jc w:val="both"/>
        <w:rPr>
          <w:lang w:val="es-CO"/>
        </w:rPr>
      </w:pPr>
      <w:r w:rsidRPr="00B316FA">
        <w:rPr>
          <w:rFonts w:ascii="Arial" w:eastAsia="Arial" w:hAnsi="Arial" w:cs="Arial"/>
          <w:b/>
          <w:sz w:val="20"/>
          <w:szCs w:val="20"/>
          <w:lang w:val="es-CO"/>
        </w:rPr>
        <w:t>El componente Territorio</w:t>
      </w:r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comprende los procesos sociales, económicos, políticos e institucionales que configuran el espacio: estratificación socioeconómica, índice de pobreza multidimensional, infraestructura vial, equipamientos, acciones institucionales, proyectos de desarrollo urbano y dinámicas de mercado inmobiliario. Para la Subred Sur Occidente, este componente está fuertemente marcado por las grandes obras de infraestructura en ejecución durante el período 2014-2025.</w:t>
      </w:r>
    </w:p>
    <w:p w:rsidR="00BA79CB" w:rsidRDefault="00BA79CB" w:rsidP="00BA79CB">
      <w:pPr>
        <w:spacing w:before="80" w:after="120"/>
        <w:jc w:val="both"/>
      </w:pPr>
      <w:r w:rsidRPr="00B316FA">
        <w:rPr>
          <w:rFonts w:ascii="Arial" w:eastAsia="Arial" w:hAnsi="Arial" w:cs="Arial"/>
          <w:sz w:val="20"/>
          <w:szCs w:val="20"/>
          <w:lang w:val="es-CO"/>
        </w:rPr>
        <w:t>Los recorridos de campo y la sistematización de mayo de 2026 identifican los siguientes proyectos de infraestructura como los principales motores de transformación territorial en la Subred Sur Occidente, con impactos directos e indirectos en la salud: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3"/>
        <w:gridCol w:w="6395"/>
      </w:tblGrid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es-CO"/>
              </w:rPr>
              <w:t>Proyecto de infraestructura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es-CO"/>
              </w:rPr>
              <w:t>Impactos identificados en campo (salud y territorio)</w:t>
            </w:r>
          </w:p>
        </w:tc>
      </w:tr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Metro de Bogotá — Estaciones 7, 8 y 9 (Kennedy, Puente Aranda)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Demolición y desplazamiento de viviendas informales; cierre de negocios y economías locales; aumento de habitabilidad en calle; proliferación de roedores en zonas de obra; deterioro de calidad del aire por materiales de construcción; desactivación de UPA 11 (Puente Aranda); estrés y tensión social en comunidades afectadas por obra; expectativas de valorización predial y gentrificación.</w:t>
            </w:r>
          </w:p>
        </w:tc>
      </w:tr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proofErr w:type="spellStart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Regiotram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 — Corredor ferroviario (Fontibón)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Ocupación informal del corredor férreo (basuras, escombros); proliferación de roedores; impacto en movilidad local; llegada de nuevos residentes a zonas </w:t>
            </w:r>
            <w:proofErr w:type="spellStart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aledeas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 con aumento de consumo de SPA y VIF; transformación de usos del suelo en franja de influencia.</w:t>
            </w:r>
          </w:p>
        </w:tc>
      </w:tr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Avenida Longitudinal de Occidente — ALO (Kennedy-Bosa)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Zona de transición rural-urbana con alta vulnerabilidad; tensión entre comunidades rurales y expansión urbana; riesgo de desplazamiento de población; impacto en cobertura vegetal y estructura ecológica; ausencia de servicios de salud en franja de expansión.</w:t>
            </w:r>
          </w:p>
        </w:tc>
      </w:tr>
      <w:tr w:rsidR="00BA79CB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lastRenderedPageBreak/>
              <w:t>Ampliación Calle 13 / Avenida Centenario (Fontibón)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A79CB" w:rsidRPr="00B316FA" w:rsidRDefault="00BA79CB" w:rsidP="00845509">
            <w:pPr>
              <w:spacing w:before="40" w:after="40"/>
              <w:jc w:val="both"/>
              <w:rPr>
                <w:sz w:val="20"/>
                <w:szCs w:val="20"/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Impacto en movilidad y accesibilidad; ruido y material </w:t>
            </w:r>
            <w:proofErr w:type="spellStart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particulado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 en zona de obra; presión sobre Humedal </w:t>
            </w:r>
            <w:proofErr w:type="spellStart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Hyntiba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.</w:t>
            </w:r>
          </w:p>
        </w:tc>
      </w:tr>
    </w:tbl>
    <w:p w:rsidR="0015269F" w:rsidRDefault="0015269F" w:rsidP="0015269F">
      <w:pPr>
        <w:spacing w:before="80" w:after="120"/>
        <w:jc w:val="both"/>
      </w:pPr>
    </w:p>
    <w:p w:rsidR="00BA79CB" w:rsidRPr="00B316FA" w:rsidRDefault="00BA79CB" w:rsidP="00BA79CB">
      <w:pPr>
        <w:spacing w:before="80" w:after="120"/>
        <w:jc w:val="both"/>
        <w:rPr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Se recomienda incluir en el documento una capa SIG de grandes proyectos de infraestructura superpuesta con el análisis de transformaciones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socioespaciales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>, para evidenciar la correspondencia espacial entre obra y transformación. Esta cartografía debe articularse con los indicadores de salud por UPZ para construir el argumento de la relación entre obras, transformación territorial y salud.</w:t>
      </w:r>
    </w:p>
    <w:p w:rsidR="00B316FA" w:rsidRPr="00B316FA" w:rsidRDefault="00B316FA" w:rsidP="00B316FA">
      <w:pPr>
        <w:spacing w:before="80" w:after="120"/>
        <w:jc w:val="both"/>
        <w:rPr>
          <w:rFonts w:ascii="Arial" w:eastAsia="Arial" w:hAnsi="Arial" w:cs="Arial"/>
          <w:b/>
          <w:sz w:val="20"/>
          <w:szCs w:val="20"/>
          <w:lang w:val="es-CO"/>
        </w:rPr>
      </w:pPr>
      <w:r w:rsidRPr="00B316FA">
        <w:rPr>
          <w:rFonts w:ascii="Arial" w:eastAsia="Arial" w:hAnsi="Arial" w:cs="Arial"/>
          <w:b/>
          <w:sz w:val="20"/>
          <w:szCs w:val="20"/>
          <w:lang w:val="es-CO"/>
        </w:rPr>
        <w:t xml:space="preserve">Integración de indicadores de la Encuesta Multipropósito por UPZ </w:t>
      </w:r>
    </w:p>
    <w:p w:rsidR="00B316FA" w:rsidRPr="00B316FA" w:rsidRDefault="00B316FA" w:rsidP="00B316FA">
      <w:pPr>
        <w:spacing w:before="80" w:after="120"/>
        <w:jc w:val="both"/>
        <w:rPr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>Para fortalecer el componente Territorio, se recomienda extraer y sistematizar los siguientes indicadores de la Encuesta Multipropósito (2011, 2014, 2017, 2021) a escala de UPZ para las cuatro localidades: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0"/>
        <w:gridCol w:w="6118"/>
      </w:tblGrid>
      <w:tr w:rsidR="00B316FA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  <w:lang w:val="es-CO"/>
              </w:rPr>
              <w:t>Indicador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75B6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  <w:lang w:val="es-CO"/>
              </w:rPr>
              <w:t>Relevancia para el análisis GTP-Salud</w:t>
            </w:r>
          </w:p>
        </w:tc>
      </w:tr>
      <w:tr w:rsidR="00B316FA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Índice de Pobreza Multidimensional (IPM)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Base para articular pobreza estructural con acceso a servicios de salud y condiciones de hábitat.</w:t>
            </w:r>
          </w:p>
        </w:tc>
      </w:tr>
      <w:tr w:rsidR="00B316FA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Hacinamiento (personas por cuarto)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Directamente relacionado con VIF, enfermedades respiratorias e infecciones de transmisión aérea observadas en Bosa y Kennedy.</w:t>
            </w:r>
          </w:p>
        </w:tc>
      </w:tr>
      <w:tr w:rsidR="00B316FA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Acceso a servicios públicos domiciliarios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 xml:space="preserve">Indicador de calidad del hábitat; </w:t>
            </w:r>
            <w:proofErr w:type="spellStart"/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articulable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 xml:space="preserve"> con análisis de coberturas y densificación vertical.</w:t>
            </w:r>
          </w:p>
        </w:tc>
      </w:tr>
      <w:tr w:rsidR="00B316FA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Tasa de ocupación e informalidad laboral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Permite caracterizar la vulnerabilidad económica de las comunidades y su relación con exposición a riesgos ambientales.</w:t>
            </w:r>
          </w:p>
        </w:tc>
      </w:tr>
      <w:tr w:rsidR="00B316FA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Cobertura de afiliación al Sistema de Salud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Indicador de acceso; contrastable con distribución de equipamientos de salud en el territorio.</w:t>
            </w:r>
          </w:p>
        </w:tc>
      </w:tr>
      <w:tr w:rsidR="00B316FA" w:rsidRPr="00B316FA" w:rsidTr="00845509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Tiempo de desplazamiento al trabajo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B316FA" w:rsidRPr="00B316FA" w:rsidRDefault="00B316FA" w:rsidP="00845509">
            <w:pPr>
              <w:spacing w:before="40" w:after="40"/>
              <w:jc w:val="both"/>
              <w:rPr>
                <w:lang w:val="es-CO"/>
              </w:rPr>
            </w:pPr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 xml:space="preserve">Relacionado con proyectos de movilidad (Metro, </w:t>
            </w:r>
            <w:proofErr w:type="spellStart"/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Regiotram</w:t>
            </w:r>
            <w:proofErr w:type="spellEnd"/>
            <w:r w:rsidRPr="00B316FA">
              <w:rPr>
                <w:rFonts w:ascii="Arial" w:eastAsia="Arial" w:hAnsi="Arial" w:cs="Arial"/>
                <w:color w:val="000000"/>
                <w:sz w:val="18"/>
                <w:szCs w:val="18"/>
                <w:lang w:val="es-CO"/>
              </w:rPr>
              <w:t>, ALO) y calidad de vida.</w:t>
            </w:r>
          </w:p>
        </w:tc>
      </w:tr>
    </w:tbl>
    <w:p w:rsidR="00BA79CB" w:rsidRPr="00B316FA" w:rsidRDefault="00B316FA" w:rsidP="00B316FA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hAnsi="Arial" w:cs="Arial"/>
          <w:sz w:val="20"/>
          <w:szCs w:val="20"/>
          <w:lang w:val="es-CO"/>
        </w:rPr>
        <w:t>Nota, son recomendaciones a explorar tras lo observado, seguir explorando otros e incluir en el análisis</w:t>
      </w:r>
    </w:p>
    <w:p w:rsidR="00B316FA" w:rsidRPr="00B316FA" w:rsidRDefault="00B316FA" w:rsidP="00B316FA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</w:p>
    <w:p w:rsidR="00B316FA" w:rsidRPr="00B316FA" w:rsidRDefault="00B316FA" w:rsidP="00B316FA">
      <w:pPr>
        <w:spacing w:before="80" w:after="120"/>
        <w:jc w:val="both"/>
        <w:rPr>
          <w:rFonts w:ascii="Arial" w:eastAsia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b/>
          <w:sz w:val="20"/>
          <w:szCs w:val="20"/>
          <w:lang w:val="es-CO"/>
        </w:rPr>
        <w:t>El Paisaje</w:t>
      </w:r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 en el modelo GTP corresponde a la percepción social del territorio: cómo los actores locales significan, viven y experimentan las transformaciones espaciales. Este componente se nutre del trabajo de campo etnográfico (guía de observación, entrevistas semiestructuradas, recorridos territoriales) y constituye el espacio donde se hace visible la articulación entre la transformación del espacio físico y sus consecuencias sobre la salud y el bienestar de las comunidades.</w:t>
      </w:r>
    </w:p>
    <w:p w:rsidR="00B316FA" w:rsidRPr="00B316FA" w:rsidRDefault="00B316FA" w:rsidP="00B316FA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lastRenderedPageBreak/>
        <w:t>Los recorridos de campo registraron aproximadamente 30 puntos de observación (21-22 de abril de 2026) en sectores clave de la localidad. Los hallazgos cualitativos del Paisaje incluyen: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Percepción comunitaria de pérdida acelerada de zonas verdes y espacios recreativos como resultado de la expansión residencial informal, especialmente en el sector San José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Narrativas sobre el deterioro de la calidad del aire y el aumento de enfermedades respiratorias (gripa, infecciones de vías respiratorias) asociadas a la quema de residuos y la densificación sin planificación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Percepción de inseguridad en parques y zonas públicas por presencia de personas en situación de consumo de SPA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Manejo inadecuado de residuos sólidos como problemática ambiental destacada por la comunidad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Dificultades en el acceso a servicios de salud por distancias y condiciones de movilidad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VIF e hacinamiento como determinantes sociales identificados por líderes y profesionales de campo</w:t>
      </w:r>
    </w:p>
    <w:p w:rsidR="00B316FA" w:rsidRPr="00B316FA" w:rsidRDefault="00B316FA" w:rsidP="00B316FA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 xml:space="preserve">Recomendación: construir una narrativa cualitativa que articule estas percepciones con los datos cuantitativos de densificación (número de pisos, mutaciones catastrales) y pérdida de cobertura vegetal identificados en el </w:t>
      </w:r>
      <w:proofErr w:type="spellStart"/>
      <w:r w:rsidRPr="00B316FA">
        <w:rPr>
          <w:rFonts w:ascii="Arial" w:eastAsia="Arial" w:hAnsi="Arial" w:cs="Arial"/>
          <w:sz w:val="20"/>
          <w:szCs w:val="20"/>
          <w:lang w:val="es-CO"/>
        </w:rPr>
        <w:t>Geosistema</w:t>
      </w:r>
      <w:proofErr w:type="spellEnd"/>
      <w:r w:rsidRPr="00B316FA">
        <w:rPr>
          <w:rFonts w:ascii="Arial" w:eastAsia="Arial" w:hAnsi="Arial" w:cs="Arial"/>
          <w:sz w:val="20"/>
          <w:szCs w:val="20"/>
          <w:lang w:val="es-CO"/>
        </w:rPr>
        <w:t>.</w:t>
      </w:r>
    </w:p>
    <w:p w:rsidR="00B316FA" w:rsidRPr="00B316FA" w:rsidRDefault="00B316FA" w:rsidP="00B316FA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b/>
          <w:sz w:val="20"/>
          <w:szCs w:val="20"/>
          <w:lang w:val="es-CO"/>
        </w:rPr>
        <w:t>Paisaje en Kennedy</w:t>
      </w:r>
      <w:r w:rsidRPr="00B316FA">
        <w:rPr>
          <w:rFonts w:ascii="Arial" w:eastAsia="Arial" w:hAnsi="Arial" w:cs="Arial"/>
          <w:b/>
          <w:sz w:val="20"/>
          <w:szCs w:val="20"/>
          <w:lang w:val="es-CO"/>
        </w:rPr>
        <w:t xml:space="preserve"> l</w:t>
      </w:r>
      <w:r w:rsidRPr="00B316FA">
        <w:rPr>
          <w:rFonts w:ascii="Arial" w:eastAsia="Arial" w:hAnsi="Arial" w:cs="Arial"/>
          <w:sz w:val="20"/>
          <w:szCs w:val="20"/>
          <w:lang w:val="es-CO"/>
        </w:rPr>
        <w:t>os puntos de campo (~28 registros, con fechas del 5 de febrero y 21-22 de abril de 2026) cubren sectores clave: corredor río Fucha, zona ALO, río Tunjuelo y áreas de influencia del Metro. Los hallazgos cualitativos incluyen: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 xml:space="preserve">Percepción de riesgo por presencia de roedores en sectores adyacentes a canales hídricos y Humedal </w:t>
      </w:r>
      <w:proofErr w:type="spellStart"/>
      <w:r w:rsidRPr="00B316FA">
        <w:rPr>
          <w:lang w:val="es-CO"/>
        </w:rPr>
        <w:t>Tingua</w:t>
      </w:r>
      <w:proofErr w:type="spellEnd"/>
      <w:r w:rsidRPr="00B316FA">
        <w:rPr>
          <w:lang w:val="es-CO"/>
        </w:rPr>
        <w:t xml:space="preserve"> Azul, especialmente desde el inicio de obras de infraestructura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Narrativas sobre el aumento de habitabilidad en calle y consumo de SPA en zonas de obra del Metro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Preocupación comunitaria por la transformación de la zona ALO: pérdida de territorio agrícola, llegada de nuevas construcciones sin servicios adecuados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Percepción de la recuperación del río Tunjuelo como proceso positivo pero insuficiente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Tensión entre economía informal (vendedores ambulantes, recicladores) y procesos de formalización del espacio público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 xml:space="preserve">Identificación del </w:t>
      </w:r>
      <w:proofErr w:type="spellStart"/>
      <w:r w:rsidRPr="00B316FA">
        <w:rPr>
          <w:lang w:val="es-CO"/>
        </w:rPr>
        <w:t>Regiotram</w:t>
      </w:r>
      <w:proofErr w:type="spellEnd"/>
      <w:r w:rsidRPr="00B316FA">
        <w:rPr>
          <w:lang w:val="es-CO"/>
        </w:rPr>
        <w:t xml:space="preserve"> como transformación esperada con impactos mixtos (accesibilidad vs. desplazamiento de comunidades)</w:t>
      </w:r>
    </w:p>
    <w:p w:rsidR="00B316FA" w:rsidRPr="00B316FA" w:rsidRDefault="00B316FA" w:rsidP="00B316FA">
      <w:pPr>
        <w:spacing w:before="80" w:after="120"/>
        <w:jc w:val="both"/>
        <w:rPr>
          <w:rFonts w:ascii="Arial" w:eastAsia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>Recomendación: articular las narrativas sobre el Metro y la zona ALO con el análisis de mutaciones catastrales en zonas de influencia, y con los indicadores de densidad poblacional y EPE por UPZ.</w:t>
      </w:r>
    </w:p>
    <w:p w:rsidR="00B316FA" w:rsidRPr="00B316FA" w:rsidRDefault="00B316FA" w:rsidP="00B316FA">
      <w:pPr>
        <w:pStyle w:val="Ttulo3"/>
        <w:spacing w:before="200" w:after="100"/>
        <w:jc w:val="both"/>
        <w:rPr>
          <w:rFonts w:ascii="Arial" w:eastAsia="Arial" w:hAnsi="Arial" w:cs="Arial"/>
          <w:b/>
          <w:color w:val="auto"/>
          <w:sz w:val="20"/>
          <w:szCs w:val="20"/>
          <w:lang w:val="es-CO" w:eastAsia="en-US"/>
        </w:rPr>
      </w:pPr>
      <w:r w:rsidRPr="00B316FA">
        <w:rPr>
          <w:rFonts w:ascii="Arial" w:eastAsia="Arial" w:hAnsi="Arial" w:cs="Arial"/>
          <w:b/>
          <w:color w:val="auto"/>
          <w:sz w:val="20"/>
          <w:szCs w:val="20"/>
          <w:lang w:val="es-CO" w:eastAsia="en-US"/>
        </w:rPr>
        <w:t>Paisaje en Fontibón</w:t>
      </w:r>
      <w:r w:rsidRPr="00B316FA">
        <w:rPr>
          <w:rFonts w:ascii="Arial" w:eastAsia="Arial" w:hAnsi="Arial" w:cs="Arial"/>
          <w:b/>
          <w:color w:val="auto"/>
          <w:sz w:val="20"/>
          <w:szCs w:val="20"/>
          <w:lang w:val="es-CO" w:eastAsia="en-US"/>
        </w:rPr>
        <w:t xml:space="preserve"> </w:t>
      </w:r>
      <w:r w:rsidRPr="00B316FA">
        <w:rPr>
          <w:rFonts w:ascii="Arial" w:eastAsia="Arial" w:hAnsi="Arial" w:cs="Arial"/>
          <w:color w:val="auto"/>
          <w:sz w:val="20"/>
          <w:szCs w:val="20"/>
          <w:lang w:val="es-CO" w:eastAsia="en-US"/>
        </w:rPr>
        <w:t>l</w:t>
      </w:r>
      <w:r w:rsidRPr="00B316FA">
        <w:rPr>
          <w:rFonts w:ascii="Arial" w:eastAsia="Arial" w:hAnsi="Arial" w:cs="Arial"/>
          <w:color w:val="auto"/>
          <w:sz w:val="20"/>
          <w:szCs w:val="20"/>
          <w:lang w:val="es-CO" w:eastAsia="en-US"/>
        </w:rPr>
        <w:t>os puntos de campo (~23 registros, con fechas del 17 de febrero, 26 de marzo y 20 de abril de 2026) cubren zonas diversas: cercanías al Hospital Fontibón, corredor ferroviario (</w:t>
      </w:r>
      <w:proofErr w:type="spellStart"/>
      <w:r w:rsidRPr="00B316FA">
        <w:rPr>
          <w:rFonts w:ascii="Arial" w:eastAsia="Arial" w:hAnsi="Arial" w:cs="Arial"/>
          <w:color w:val="auto"/>
          <w:sz w:val="20"/>
          <w:szCs w:val="20"/>
          <w:lang w:val="es-CO" w:eastAsia="en-US"/>
        </w:rPr>
        <w:t>Regiotram</w:t>
      </w:r>
      <w:proofErr w:type="spellEnd"/>
      <w:r w:rsidRPr="00B316FA">
        <w:rPr>
          <w:rFonts w:ascii="Arial" w:eastAsia="Arial" w:hAnsi="Arial" w:cs="Arial"/>
          <w:color w:val="auto"/>
          <w:sz w:val="20"/>
          <w:szCs w:val="20"/>
          <w:lang w:val="es-CO" w:eastAsia="en-US"/>
        </w:rPr>
        <w:t xml:space="preserve">), Humedal </w:t>
      </w:r>
      <w:proofErr w:type="spellStart"/>
      <w:r w:rsidRPr="00B316FA">
        <w:rPr>
          <w:rFonts w:ascii="Arial" w:eastAsia="Arial" w:hAnsi="Arial" w:cs="Arial"/>
          <w:color w:val="auto"/>
          <w:sz w:val="20"/>
          <w:szCs w:val="20"/>
          <w:lang w:val="es-CO" w:eastAsia="en-US"/>
        </w:rPr>
        <w:t>Hyntiba</w:t>
      </w:r>
      <w:proofErr w:type="spellEnd"/>
      <w:r w:rsidRPr="00B316FA">
        <w:rPr>
          <w:rFonts w:ascii="Arial" w:eastAsia="Arial" w:hAnsi="Arial" w:cs="Arial"/>
          <w:color w:val="auto"/>
          <w:sz w:val="20"/>
          <w:szCs w:val="20"/>
          <w:lang w:val="es-CO" w:eastAsia="en-US"/>
        </w:rPr>
        <w:t>, sector rural Chircal y franja del río Bogotá. Los hallazgos cualitativos incluyen: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Percepción de reducción del ruido aeroportuario como mejora ambiental, contrarrestada por nuevos impactos de obras (</w:t>
      </w:r>
      <w:proofErr w:type="spellStart"/>
      <w:r w:rsidRPr="00B316FA">
        <w:rPr>
          <w:lang w:val="es-CO"/>
        </w:rPr>
        <w:t>Regiotram</w:t>
      </w:r>
      <w:proofErr w:type="spellEnd"/>
      <w:r w:rsidRPr="00B316FA">
        <w:rPr>
          <w:lang w:val="es-CO"/>
        </w:rPr>
        <w:t>, ampliación vial)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Ocupación informal del corredor férreo con escombros y residuos: identificada como riesgo para la salud por proliferación de vectores y roedores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lastRenderedPageBreak/>
        <w:t>Narrativas sobre cambios en la composición social de barrios por llegada de nuevos residentes en conjuntos de propiedad horizontal: percepción de aumento de SPA y VIF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Trabajadores informales (chatarreros, recicladores) como grupo vulnerable con exposición diferenciada a riesgos ambientales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 xml:space="preserve">El Humedal </w:t>
      </w:r>
      <w:proofErr w:type="spellStart"/>
      <w:r w:rsidRPr="00B316FA">
        <w:rPr>
          <w:lang w:val="es-CO"/>
        </w:rPr>
        <w:t>Hyntiba</w:t>
      </w:r>
      <w:proofErr w:type="spellEnd"/>
      <w:r w:rsidRPr="00B316FA">
        <w:rPr>
          <w:lang w:val="es-CO"/>
        </w:rPr>
        <w:t xml:space="preserve"> reconocido por la comunidad como activo ecológico amenazado por las obras y el crecimiento urbano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Invasión del sector Chircal como frente de urbanización informal sobre suelo rural, con ausencia de servicios básicos</w:t>
      </w:r>
    </w:p>
    <w:p w:rsidR="00B316FA" w:rsidRPr="00B316FA" w:rsidRDefault="00B316FA" w:rsidP="00B316FA">
      <w:pPr>
        <w:spacing w:before="80" w:after="120"/>
        <w:jc w:val="both"/>
        <w:rPr>
          <w:rFonts w:ascii="Arial" w:eastAsia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>Recomendación: desarrollar un análisis de la percepción del cambio en el sector Chircal y el corredor ferroviario como zonas de transición activa, articulando los relatos de campo con los resultados de clasificación de cobertura del suelo para los años 2018-2024.</w:t>
      </w:r>
    </w:p>
    <w:p w:rsidR="00B316FA" w:rsidRPr="00B316FA" w:rsidRDefault="00B316FA" w:rsidP="00B316FA">
      <w:pPr>
        <w:spacing w:before="80" w:after="120"/>
        <w:jc w:val="both"/>
        <w:rPr>
          <w:rFonts w:ascii="Arial" w:eastAsia="Arial" w:hAnsi="Arial" w:cs="Arial"/>
          <w:sz w:val="20"/>
          <w:szCs w:val="20"/>
          <w:lang w:val="es-CO"/>
        </w:rPr>
      </w:pPr>
    </w:p>
    <w:p w:rsidR="00B316FA" w:rsidRPr="00B316FA" w:rsidRDefault="00B316FA" w:rsidP="00B316FA">
      <w:pPr>
        <w:pStyle w:val="Ttulo3"/>
        <w:spacing w:before="200" w:after="100"/>
        <w:jc w:val="both"/>
        <w:rPr>
          <w:rFonts w:ascii="Arial" w:eastAsia="Arial" w:hAnsi="Arial" w:cs="Arial"/>
          <w:b/>
          <w:color w:val="auto"/>
          <w:sz w:val="20"/>
          <w:szCs w:val="20"/>
          <w:lang w:val="es-CO" w:eastAsia="en-US"/>
        </w:rPr>
      </w:pPr>
      <w:r w:rsidRPr="00B316FA">
        <w:rPr>
          <w:rFonts w:ascii="Arial" w:eastAsia="Arial" w:hAnsi="Arial" w:cs="Arial"/>
          <w:b/>
          <w:color w:val="auto"/>
          <w:sz w:val="20"/>
          <w:szCs w:val="20"/>
          <w:lang w:val="es-CO" w:eastAsia="en-US"/>
        </w:rPr>
        <w:t>Paisaje en Puente Aranda</w:t>
      </w:r>
      <w:r w:rsidRPr="00B316FA">
        <w:rPr>
          <w:rFonts w:ascii="Arial" w:eastAsia="Arial" w:hAnsi="Arial" w:cs="Arial"/>
          <w:b/>
          <w:color w:val="auto"/>
          <w:sz w:val="20"/>
          <w:szCs w:val="20"/>
          <w:lang w:val="es-CO" w:eastAsia="en-US"/>
        </w:rPr>
        <w:t xml:space="preserve"> </w:t>
      </w:r>
      <w:r w:rsidRPr="00B316FA">
        <w:rPr>
          <w:rFonts w:ascii="Arial" w:eastAsia="Arial" w:hAnsi="Arial" w:cs="Arial"/>
          <w:color w:val="auto"/>
          <w:sz w:val="20"/>
          <w:szCs w:val="20"/>
          <w:lang w:val="es-CO" w:eastAsia="en-US"/>
        </w:rPr>
        <w:t>l</w:t>
      </w:r>
      <w:r w:rsidRPr="00B316FA">
        <w:rPr>
          <w:rFonts w:ascii="Arial" w:eastAsia="Arial" w:hAnsi="Arial" w:cs="Arial"/>
          <w:color w:val="auto"/>
          <w:sz w:val="20"/>
          <w:szCs w:val="20"/>
          <w:lang w:val="es-CO" w:eastAsia="en-US"/>
        </w:rPr>
        <w:t>os puntos de campo (~14 registros) se concentran en nodos específicos: UPA 11 (zona industrial), estaciones Metro 7 y 9, Puente Venecia, Manzana del Cuidado, ASDINGO y Plaza de la Hoja. Los hallazgos cualitativos incluyen: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Narrativas sobre la desactivación de la UPA 11 como pérdida de acceso a servicios de salud para la comunidad industrial y residencial: percepción de abandono institucional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Alta prevalencia percibida de rinitis y enfermedades respiratorias crónicas asociadas a la concentración industrial y la falta de zonas verdes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Aumento de habitabilidad en calle en zonas de obra del Metro 7 y 9: percepción de riesgo de seguridad y deterioro del espacio público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Proliferación de roedores cerca de vías férreas y zona de procesamiento de alimentos (</w:t>
      </w:r>
      <w:proofErr w:type="spellStart"/>
      <w:r w:rsidRPr="00B316FA">
        <w:rPr>
          <w:lang w:val="es-CO"/>
        </w:rPr>
        <w:t>MacPollo</w:t>
      </w:r>
      <w:proofErr w:type="spellEnd"/>
      <w:r w:rsidRPr="00B316FA">
        <w:rPr>
          <w:lang w:val="es-CO"/>
        </w:rPr>
        <w:t>): identificada como riesgo para la salud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Percepción de la reconversión de suelo industrial hacia usos residenciales/mixtos como proceso ambivalente: oportunidad de mejora ambiental vs. desplazamiento de actividades productivas locales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Escasez de espacios para actividad física al aire libre: comunidad identifica limitaciones para el ejercicio y la recreación como factor de deterioro en salud mental y enfermedades crónicas</w:t>
      </w:r>
    </w:p>
    <w:p w:rsidR="00B316FA" w:rsidRPr="00B316FA" w:rsidRDefault="00B316FA" w:rsidP="00B316FA">
      <w:pPr>
        <w:pStyle w:val="Prrafodelista"/>
        <w:numPr>
          <w:ilvl w:val="0"/>
          <w:numId w:val="8"/>
        </w:numPr>
        <w:spacing w:before="60" w:after="80"/>
        <w:jc w:val="both"/>
        <w:rPr>
          <w:lang w:val="es-CO"/>
        </w:rPr>
      </w:pPr>
      <w:r w:rsidRPr="00B316FA">
        <w:rPr>
          <w:lang w:val="es-CO"/>
        </w:rPr>
        <w:t>La Manzana del Cuidado como hito institucional positivo: equipamiento de bienestar en zona de alta vulnerabilidad</w:t>
      </w:r>
    </w:p>
    <w:p w:rsidR="00B316FA" w:rsidRPr="00B316FA" w:rsidRDefault="00B316FA" w:rsidP="00B316FA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eastAsia="Arial" w:hAnsi="Arial" w:cs="Arial"/>
          <w:sz w:val="20"/>
          <w:szCs w:val="20"/>
          <w:lang w:val="es-CO"/>
        </w:rPr>
        <w:t>Recomendación: articular las narrativas sobre la UPA 11 con el análisis de distribución de equipamientos de salud en el componente Territorio, y contrastar la percepción de deterioro ambiental industrial con los índices de calidad del aire (PM10/PM2.5) disponibles en el Visor Ambiental de la Secretaría de Ambiente.</w:t>
      </w:r>
    </w:p>
    <w:p w:rsidR="00B316FA" w:rsidRDefault="00B316FA" w:rsidP="00B316FA">
      <w:pPr>
        <w:spacing w:before="80" w:after="120"/>
        <w:jc w:val="both"/>
      </w:pPr>
    </w:p>
    <w:p w:rsidR="00B316FA" w:rsidRPr="00B316FA" w:rsidRDefault="00B316FA" w:rsidP="00B316FA">
      <w:pPr>
        <w:spacing w:before="80" w:after="120"/>
        <w:jc w:val="both"/>
        <w:rPr>
          <w:rFonts w:ascii="Arial" w:hAnsi="Arial" w:cs="Arial"/>
          <w:sz w:val="20"/>
          <w:szCs w:val="20"/>
          <w:lang w:val="es-CO"/>
        </w:rPr>
      </w:pPr>
      <w:r w:rsidRPr="00B316FA">
        <w:rPr>
          <w:rFonts w:ascii="Arial" w:hAnsi="Arial" w:cs="Arial"/>
          <w:sz w:val="20"/>
          <w:szCs w:val="20"/>
          <w:lang w:val="es-CO"/>
        </w:rPr>
        <w:t>Nota, son recomendaciones a explorar tras lo observado, seguir explorando otros e incluir en el análisis</w:t>
      </w:r>
    </w:p>
    <w:p w:rsidR="00C74B14" w:rsidRPr="00C74B14" w:rsidRDefault="00864119" w:rsidP="00F5430F">
      <w:pPr>
        <w:spacing w:before="80" w:after="120"/>
        <w:jc w:val="both"/>
        <w:rPr>
          <w:rStyle w:val="normaltextrun"/>
          <w:rFonts w:ascii="Arial" w:eastAsia="Arial" w:hAnsi="Arial" w:cs="Arial"/>
          <w:sz w:val="20"/>
          <w:szCs w:val="20"/>
        </w:rPr>
      </w:pPr>
      <w:r w:rsidRPr="009B0C7F">
        <w:rPr>
          <w:rFonts w:ascii="Arial" w:eastAsia="Arial" w:hAnsi="Arial" w:cs="Arial"/>
          <w:sz w:val="19"/>
          <w:szCs w:val="19"/>
          <w:lang w:val="es-CO"/>
        </w:rPr>
        <w:t xml:space="preserve">Estos puntos nos serán requeridos en su totalidad para el radicado del mes de junio 2026, se </w:t>
      </w:r>
      <w:r>
        <w:rPr>
          <w:rFonts w:ascii="Arial" w:eastAsia="Arial" w:hAnsi="Arial" w:cs="Arial"/>
          <w:sz w:val="19"/>
          <w:szCs w:val="19"/>
          <w:lang w:val="es-CO"/>
        </w:rPr>
        <w:t>plantea</w:t>
      </w:r>
      <w:r w:rsidRPr="009B0C7F">
        <w:rPr>
          <w:rFonts w:ascii="Arial" w:eastAsia="Arial" w:hAnsi="Arial" w:cs="Arial"/>
          <w:sz w:val="19"/>
          <w:szCs w:val="19"/>
          <w:lang w:val="es-CO"/>
        </w:rPr>
        <w:t xml:space="preserve"> un seguimiento durante una asistencia técnica a realizar durante el mes de julio 2026 </w:t>
      </w:r>
      <w:bookmarkStart w:id="0" w:name="_GoBack"/>
      <w:bookmarkEnd w:id="0"/>
    </w:p>
    <w:p w:rsidR="00A203D0" w:rsidRPr="00A203D0" w:rsidRDefault="00A203D0" w:rsidP="00A203D0">
      <w:pPr>
        <w:jc w:val="right"/>
        <w:rPr>
          <w:rStyle w:val="normaltextrun"/>
          <w:rFonts w:ascii="Arial" w:eastAsia="Times New Roman" w:hAnsi="Arial" w:cs="Arial"/>
          <w:i/>
          <w:sz w:val="20"/>
          <w:szCs w:val="20"/>
          <w:lang w:val="es-MX"/>
        </w:rPr>
      </w:pPr>
      <w:r w:rsidRPr="00A203D0">
        <w:rPr>
          <w:rStyle w:val="normaltextrun"/>
          <w:rFonts w:ascii="Arial" w:eastAsia="Times New Roman" w:hAnsi="Arial" w:cs="Arial"/>
          <w:i/>
          <w:sz w:val="20"/>
          <w:szCs w:val="20"/>
          <w:lang w:val="es-MX"/>
        </w:rPr>
        <w:t>Revisado por Carlos Fernández</w:t>
      </w:r>
    </w:p>
    <w:sectPr w:rsidR="00A203D0" w:rsidRPr="00A203D0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87A" w:rsidRDefault="0024187A" w:rsidP="00C93AB7">
      <w:pPr>
        <w:spacing w:after="0" w:line="240" w:lineRule="auto"/>
      </w:pPr>
      <w:r>
        <w:separator/>
      </w:r>
    </w:p>
  </w:endnote>
  <w:endnote w:type="continuationSeparator" w:id="0">
    <w:p w:rsidR="0024187A" w:rsidRDefault="0024187A" w:rsidP="00C9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4FA" w:rsidRDefault="00FF74FA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F85C989" wp14:editId="6A91505A">
          <wp:simplePos x="0" y="0"/>
          <wp:positionH relativeFrom="page">
            <wp:posOffset>15295</wp:posOffset>
          </wp:positionH>
          <wp:positionV relativeFrom="paragraph">
            <wp:posOffset>-278296</wp:posOffset>
          </wp:positionV>
          <wp:extent cx="7306573" cy="1016638"/>
          <wp:effectExtent l="0" t="0" r="8890" b="0"/>
          <wp:wrapTopAndBottom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embrete BN_MEMBRETE P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6573" cy="10166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87A" w:rsidRDefault="0024187A" w:rsidP="00C93AB7">
      <w:pPr>
        <w:spacing w:after="0" w:line="240" w:lineRule="auto"/>
      </w:pPr>
      <w:r>
        <w:separator/>
      </w:r>
    </w:p>
  </w:footnote>
  <w:footnote w:type="continuationSeparator" w:id="0">
    <w:p w:rsidR="0024187A" w:rsidRDefault="0024187A" w:rsidP="00C9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4FA" w:rsidRPr="00C93AB7" w:rsidRDefault="00FF74FA" w:rsidP="00C93AB7">
    <w:pPr>
      <w:pStyle w:val="Encabezado"/>
    </w:pPr>
    <w:r w:rsidRPr="005D76A5"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-397510</wp:posOffset>
          </wp:positionV>
          <wp:extent cx="7696835" cy="1010920"/>
          <wp:effectExtent l="0" t="0" r="0" b="0"/>
          <wp:wrapTopAndBottom/>
          <wp:docPr id="20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8"/>
                  <a:stretch/>
                </pic:blipFill>
                <pic:spPr bwMode="auto">
                  <a:xfrm>
                    <a:off x="0" y="0"/>
                    <a:ext cx="7696835" cy="10109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13044"/>
    <w:multiLevelType w:val="hybridMultilevel"/>
    <w:tmpl w:val="3626D5F2"/>
    <w:lvl w:ilvl="0" w:tplc="6D8CFD5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B67E9"/>
    <w:multiLevelType w:val="hybridMultilevel"/>
    <w:tmpl w:val="58AEA6F8"/>
    <w:lvl w:ilvl="0" w:tplc="E61432F6">
      <w:start w:val="1"/>
      <w:numFmt w:val="bullet"/>
      <w:lvlText w:val="•"/>
      <w:lvlJc w:val="left"/>
      <w:pPr>
        <w:ind w:left="720" w:hanging="360"/>
      </w:pPr>
    </w:lvl>
    <w:lvl w:ilvl="1" w:tplc="5EAECF1E">
      <w:start w:val="1"/>
      <w:numFmt w:val="bullet"/>
      <w:lvlText w:val="◦"/>
      <w:lvlJc w:val="left"/>
      <w:pPr>
        <w:ind w:left="1080" w:hanging="360"/>
      </w:pPr>
    </w:lvl>
    <w:lvl w:ilvl="2" w:tplc="480206B2">
      <w:numFmt w:val="decimal"/>
      <w:lvlText w:val=""/>
      <w:lvlJc w:val="left"/>
    </w:lvl>
    <w:lvl w:ilvl="3" w:tplc="3A2C32BE">
      <w:numFmt w:val="decimal"/>
      <w:lvlText w:val=""/>
      <w:lvlJc w:val="left"/>
    </w:lvl>
    <w:lvl w:ilvl="4" w:tplc="FDCE8E54">
      <w:numFmt w:val="decimal"/>
      <w:lvlText w:val=""/>
      <w:lvlJc w:val="left"/>
    </w:lvl>
    <w:lvl w:ilvl="5" w:tplc="B472ED02">
      <w:numFmt w:val="decimal"/>
      <w:lvlText w:val=""/>
      <w:lvlJc w:val="left"/>
    </w:lvl>
    <w:lvl w:ilvl="6" w:tplc="F4646AFA">
      <w:numFmt w:val="decimal"/>
      <w:lvlText w:val=""/>
      <w:lvlJc w:val="left"/>
    </w:lvl>
    <w:lvl w:ilvl="7" w:tplc="864453F6">
      <w:numFmt w:val="decimal"/>
      <w:lvlText w:val=""/>
      <w:lvlJc w:val="left"/>
    </w:lvl>
    <w:lvl w:ilvl="8" w:tplc="9F4EE4C2">
      <w:numFmt w:val="decimal"/>
      <w:lvlText w:val=""/>
      <w:lvlJc w:val="left"/>
    </w:lvl>
  </w:abstractNum>
  <w:abstractNum w:abstractNumId="2" w15:restartNumberingAfterBreak="0">
    <w:nsid w:val="2B837096"/>
    <w:multiLevelType w:val="hybridMultilevel"/>
    <w:tmpl w:val="E0B88122"/>
    <w:lvl w:ilvl="0" w:tplc="6E24E3DC">
      <w:start w:val="1"/>
      <w:numFmt w:val="bullet"/>
      <w:lvlText w:val="•"/>
      <w:lvlJc w:val="left"/>
      <w:pPr>
        <w:ind w:left="720" w:hanging="360"/>
      </w:pPr>
    </w:lvl>
    <w:lvl w:ilvl="1" w:tplc="FDC4F3E8">
      <w:start w:val="1"/>
      <w:numFmt w:val="bullet"/>
      <w:lvlText w:val="◦"/>
      <w:lvlJc w:val="left"/>
      <w:pPr>
        <w:ind w:left="1080" w:hanging="360"/>
      </w:pPr>
    </w:lvl>
    <w:lvl w:ilvl="2" w:tplc="BEF2D6C6">
      <w:numFmt w:val="decimal"/>
      <w:lvlText w:val=""/>
      <w:lvlJc w:val="left"/>
    </w:lvl>
    <w:lvl w:ilvl="3" w:tplc="23942C2E">
      <w:numFmt w:val="decimal"/>
      <w:lvlText w:val=""/>
      <w:lvlJc w:val="left"/>
    </w:lvl>
    <w:lvl w:ilvl="4" w:tplc="2D00CD16">
      <w:numFmt w:val="decimal"/>
      <w:lvlText w:val=""/>
      <w:lvlJc w:val="left"/>
    </w:lvl>
    <w:lvl w:ilvl="5" w:tplc="6F72FA76">
      <w:numFmt w:val="decimal"/>
      <w:lvlText w:val=""/>
      <w:lvlJc w:val="left"/>
    </w:lvl>
    <w:lvl w:ilvl="6" w:tplc="10D29972">
      <w:numFmt w:val="decimal"/>
      <w:lvlText w:val=""/>
      <w:lvlJc w:val="left"/>
    </w:lvl>
    <w:lvl w:ilvl="7" w:tplc="29FCF898">
      <w:numFmt w:val="decimal"/>
      <w:lvlText w:val=""/>
      <w:lvlJc w:val="left"/>
    </w:lvl>
    <w:lvl w:ilvl="8" w:tplc="A6A0F62E">
      <w:numFmt w:val="decimal"/>
      <w:lvlText w:val=""/>
      <w:lvlJc w:val="left"/>
    </w:lvl>
  </w:abstractNum>
  <w:abstractNum w:abstractNumId="3" w15:restartNumberingAfterBreak="0">
    <w:nsid w:val="425574FB"/>
    <w:multiLevelType w:val="hybridMultilevel"/>
    <w:tmpl w:val="466E5E76"/>
    <w:lvl w:ilvl="0" w:tplc="331C23D8">
      <w:start w:val="1"/>
      <w:numFmt w:val="decimal"/>
      <w:lvlText w:val="%1."/>
      <w:lvlJc w:val="left"/>
      <w:pPr>
        <w:ind w:left="720" w:hanging="360"/>
      </w:pPr>
    </w:lvl>
    <w:lvl w:ilvl="1" w:tplc="69961FA2">
      <w:numFmt w:val="decimal"/>
      <w:lvlText w:val=""/>
      <w:lvlJc w:val="left"/>
    </w:lvl>
    <w:lvl w:ilvl="2" w:tplc="EA02F0EC">
      <w:numFmt w:val="decimal"/>
      <w:lvlText w:val=""/>
      <w:lvlJc w:val="left"/>
    </w:lvl>
    <w:lvl w:ilvl="3" w:tplc="4BE2744E">
      <w:numFmt w:val="decimal"/>
      <w:lvlText w:val=""/>
      <w:lvlJc w:val="left"/>
    </w:lvl>
    <w:lvl w:ilvl="4" w:tplc="3B3AB400">
      <w:numFmt w:val="decimal"/>
      <w:lvlText w:val=""/>
      <w:lvlJc w:val="left"/>
    </w:lvl>
    <w:lvl w:ilvl="5" w:tplc="E99A4504">
      <w:numFmt w:val="decimal"/>
      <w:lvlText w:val=""/>
      <w:lvlJc w:val="left"/>
    </w:lvl>
    <w:lvl w:ilvl="6" w:tplc="33107B7C">
      <w:numFmt w:val="decimal"/>
      <w:lvlText w:val=""/>
      <w:lvlJc w:val="left"/>
    </w:lvl>
    <w:lvl w:ilvl="7" w:tplc="D1205BD6">
      <w:numFmt w:val="decimal"/>
      <w:lvlText w:val=""/>
      <w:lvlJc w:val="left"/>
    </w:lvl>
    <w:lvl w:ilvl="8" w:tplc="AF40D34E">
      <w:numFmt w:val="decimal"/>
      <w:lvlText w:val=""/>
      <w:lvlJc w:val="left"/>
    </w:lvl>
  </w:abstractNum>
  <w:abstractNum w:abstractNumId="4" w15:restartNumberingAfterBreak="0">
    <w:nsid w:val="46EB5C16"/>
    <w:multiLevelType w:val="hybridMultilevel"/>
    <w:tmpl w:val="EE58317E"/>
    <w:lvl w:ilvl="0" w:tplc="1B62EC9C">
      <w:start w:val="1"/>
      <w:numFmt w:val="bullet"/>
      <w:lvlText w:val="•"/>
      <w:lvlJc w:val="left"/>
      <w:pPr>
        <w:ind w:left="720" w:hanging="360"/>
      </w:pPr>
    </w:lvl>
    <w:lvl w:ilvl="1" w:tplc="CC6C09CC">
      <w:numFmt w:val="decimal"/>
      <w:lvlText w:val=""/>
      <w:lvlJc w:val="left"/>
    </w:lvl>
    <w:lvl w:ilvl="2" w:tplc="25C8E0F4">
      <w:numFmt w:val="decimal"/>
      <w:lvlText w:val=""/>
      <w:lvlJc w:val="left"/>
    </w:lvl>
    <w:lvl w:ilvl="3" w:tplc="87DA5F2A">
      <w:numFmt w:val="decimal"/>
      <w:lvlText w:val=""/>
      <w:lvlJc w:val="left"/>
    </w:lvl>
    <w:lvl w:ilvl="4" w:tplc="5394B2E2">
      <w:numFmt w:val="decimal"/>
      <w:lvlText w:val=""/>
      <w:lvlJc w:val="left"/>
    </w:lvl>
    <w:lvl w:ilvl="5" w:tplc="F75C2FD2">
      <w:numFmt w:val="decimal"/>
      <w:lvlText w:val=""/>
      <w:lvlJc w:val="left"/>
    </w:lvl>
    <w:lvl w:ilvl="6" w:tplc="0B9CB09C">
      <w:numFmt w:val="decimal"/>
      <w:lvlText w:val=""/>
      <w:lvlJc w:val="left"/>
    </w:lvl>
    <w:lvl w:ilvl="7" w:tplc="D798950A">
      <w:numFmt w:val="decimal"/>
      <w:lvlText w:val=""/>
      <w:lvlJc w:val="left"/>
    </w:lvl>
    <w:lvl w:ilvl="8" w:tplc="2DDC9954">
      <w:numFmt w:val="decimal"/>
      <w:lvlText w:val=""/>
      <w:lvlJc w:val="left"/>
    </w:lvl>
  </w:abstractNum>
  <w:abstractNum w:abstractNumId="5" w15:restartNumberingAfterBreak="0">
    <w:nsid w:val="59BB1151"/>
    <w:multiLevelType w:val="multilevel"/>
    <w:tmpl w:val="1904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3B5659B"/>
    <w:multiLevelType w:val="hybridMultilevel"/>
    <w:tmpl w:val="5A2CA15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E22FD"/>
    <w:multiLevelType w:val="hybridMultilevel"/>
    <w:tmpl w:val="EE165DB8"/>
    <w:lvl w:ilvl="0" w:tplc="BD54E9DE">
      <w:start w:val="1"/>
      <w:numFmt w:val="decimal"/>
      <w:lvlText w:val="%1."/>
      <w:lvlJc w:val="left"/>
      <w:pPr>
        <w:ind w:left="720" w:hanging="360"/>
      </w:pPr>
    </w:lvl>
    <w:lvl w:ilvl="1" w:tplc="6FF80958">
      <w:numFmt w:val="decimal"/>
      <w:lvlText w:val=""/>
      <w:lvlJc w:val="left"/>
    </w:lvl>
    <w:lvl w:ilvl="2" w:tplc="CA28EC06">
      <w:numFmt w:val="decimal"/>
      <w:lvlText w:val=""/>
      <w:lvlJc w:val="left"/>
    </w:lvl>
    <w:lvl w:ilvl="3" w:tplc="3E6E6CB2">
      <w:numFmt w:val="decimal"/>
      <w:lvlText w:val=""/>
      <w:lvlJc w:val="left"/>
    </w:lvl>
    <w:lvl w:ilvl="4" w:tplc="78302B54">
      <w:numFmt w:val="decimal"/>
      <w:lvlText w:val=""/>
      <w:lvlJc w:val="left"/>
    </w:lvl>
    <w:lvl w:ilvl="5" w:tplc="92C40160">
      <w:numFmt w:val="decimal"/>
      <w:lvlText w:val=""/>
      <w:lvlJc w:val="left"/>
    </w:lvl>
    <w:lvl w:ilvl="6" w:tplc="34D2A7DC">
      <w:numFmt w:val="decimal"/>
      <w:lvlText w:val=""/>
      <w:lvlJc w:val="left"/>
    </w:lvl>
    <w:lvl w:ilvl="7" w:tplc="407AE842">
      <w:numFmt w:val="decimal"/>
      <w:lvlText w:val=""/>
      <w:lvlJc w:val="left"/>
    </w:lvl>
    <w:lvl w:ilvl="8" w:tplc="C05C2BD8">
      <w:numFmt w:val="decimal"/>
      <w:lvlText w:val=""/>
      <w:lvlJc w:val="left"/>
    </w:lvl>
  </w:abstractNum>
  <w:num w:numId="1">
    <w:abstractNumId w:val="5"/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05"/>
    <w:rsid w:val="0000033F"/>
    <w:rsid w:val="00063E23"/>
    <w:rsid w:val="0007234E"/>
    <w:rsid w:val="000A5B05"/>
    <w:rsid w:val="0015269F"/>
    <w:rsid w:val="001555E7"/>
    <w:rsid w:val="00163E77"/>
    <w:rsid w:val="00180064"/>
    <w:rsid w:val="001C1C71"/>
    <w:rsid w:val="001C5190"/>
    <w:rsid w:val="001C7A2F"/>
    <w:rsid w:val="001E251E"/>
    <w:rsid w:val="0024187A"/>
    <w:rsid w:val="002B5EFA"/>
    <w:rsid w:val="002C53C0"/>
    <w:rsid w:val="003837D4"/>
    <w:rsid w:val="003A31E5"/>
    <w:rsid w:val="0040085B"/>
    <w:rsid w:val="00440FB4"/>
    <w:rsid w:val="00472944"/>
    <w:rsid w:val="004749A3"/>
    <w:rsid w:val="004767A7"/>
    <w:rsid w:val="004929D5"/>
    <w:rsid w:val="004A2C5F"/>
    <w:rsid w:val="004E59D3"/>
    <w:rsid w:val="00505068"/>
    <w:rsid w:val="005139FE"/>
    <w:rsid w:val="00583956"/>
    <w:rsid w:val="00625843"/>
    <w:rsid w:val="00670D25"/>
    <w:rsid w:val="0069436C"/>
    <w:rsid w:val="00730692"/>
    <w:rsid w:val="007975C6"/>
    <w:rsid w:val="007E4FB1"/>
    <w:rsid w:val="00800D6F"/>
    <w:rsid w:val="00821BC2"/>
    <w:rsid w:val="00840EC5"/>
    <w:rsid w:val="00841EA5"/>
    <w:rsid w:val="00864119"/>
    <w:rsid w:val="008A0610"/>
    <w:rsid w:val="008A5181"/>
    <w:rsid w:val="008E012B"/>
    <w:rsid w:val="00912118"/>
    <w:rsid w:val="00912528"/>
    <w:rsid w:val="00930B1A"/>
    <w:rsid w:val="009E2CAB"/>
    <w:rsid w:val="009E4C3E"/>
    <w:rsid w:val="009E4EC9"/>
    <w:rsid w:val="00A203D0"/>
    <w:rsid w:val="00A2595E"/>
    <w:rsid w:val="00AA2B8F"/>
    <w:rsid w:val="00B316FA"/>
    <w:rsid w:val="00B351EF"/>
    <w:rsid w:val="00B70787"/>
    <w:rsid w:val="00B71EF7"/>
    <w:rsid w:val="00BA79CB"/>
    <w:rsid w:val="00BB6A38"/>
    <w:rsid w:val="00C0194F"/>
    <w:rsid w:val="00C30572"/>
    <w:rsid w:val="00C3635E"/>
    <w:rsid w:val="00C4708A"/>
    <w:rsid w:val="00C72415"/>
    <w:rsid w:val="00C74B14"/>
    <w:rsid w:val="00C93AB7"/>
    <w:rsid w:val="00CB5786"/>
    <w:rsid w:val="00D04508"/>
    <w:rsid w:val="00D16205"/>
    <w:rsid w:val="00D2524C"/>
    <w:rsid w:val="00D6682B"/>
    <w:rsid w:val="00D859A7"/>
    <w:rsid w:val="00DA495C"/>
    <w:rsid w:val="00E4631A"/>
    <w:rsid w:val="00E66809"/>
    <w:rsid w:val="00EA2304"/>
    <w:rsid w:val="00F33F74"/>
    <w:rsid w:val="00F364C6"/>
    <w:rsid w:val="00F5430F"/>
    <w:rsid w:val="00F84AFB"/>
    <w:rsid w:val="00F90D2D"/>
    <w:rsid w:val="00FC2289"/>
    <w:rsid w:val="00FC5553"/>
    <w:rsid w:val="00FD1F69"/>
    <w:rsid w:val="00FF1A87"/>
    <w:rsid w:val="00FF2712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BA6288-DC99-416C-877A-950AA0E2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205"/>
  </w:style>
  <w:style w:type="paragraph" w:styleId="Ttulo3">
    <w:name w:val="heading 3"/>
    <w:link w:val="Ttulo3Car"/>
    <w:qFormat/>
    <w:rsid w:val="00B316FA"/>
    <w:pPr>
      <w:spacing w:after="0" w:line="240" w:lineRule="auto"/>
      <w:outlineLvl w:val="2"/>
    </w:pPr>
    <w:rPr>
      <w:rFonts w:ascii="Times New Roman" w:eastAsia="Times New Roman" w:hAnsi="Times New Roman" w:cs="Times New Roman"/>
      <w:color w:val="1F4D78"/>
      <w:sz w:val="24"/>
      <w:szCs w:val="24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D16205"/>
  </w:style>
  <w:style w:type="character" w:customStyle="1" w:styleId="eop">
    <w:name w:val="eop"/>
    <w:basedOn w:val="Fuentedeprrafopredeter"/>
    <w:rsid w:val="00D16205"/>
  </w:style>
  <w:style w:type="paragraph" w:styleId="Textocomentario">
    <w:name w:val="annotation text"/>
    <w:basedOn w:val="Normal"/>
    <w:link w:val="TextocomentarioCar"/>
    <w:uiPriority w:val="99"/>
    <w:unhideWhenUsed/>
    <w:rsid w:val="00D16205"/>
    <w:pPr>
      <w:spacing w:line="240" w:lineRule="auto"/>
      <w:jc w:val="both"/>
    </w:pPr>
    <w:rPr>
      <w:rFonts w:ascii="Arial" w:hAnsi="Arial"/>
      <w:kern w:val="2"/>
      <w:sz w:val="20"/>
      <w:szCs w:val="20"/>
      <w:lang w:val="es-CO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16205"/>
    <w:rPr>
      <w:rFonts w:ascii="Arial" w:hAnsi="Arial"/>
      <w:kern w:val="2"/>
      <w:sz w:val="20"/>
      <w:szCs w:val="20"/>
      <w:lang w:val="es-CO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3AB7"/>
  </w:style>
  <w:style w:type="paragraph" w:styleId="Piedepgina">
    <w:name w:val="footer"/>
    <w:basedOn w:val="Normal"/>
    <w:link w:val="Piedepgina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3AB7"/>
  </w:style>
  <w:style w:type="character" w:styleId="Hipervnculo">
    <w:name w:val="Hyperlink"/>
    <w:basedOn w:val="Fuentedeprrafopredeter"/>
    <w:uiPriority w:val="99"/>
    <w:unhideWhenUsed/>
    <w:rsid w:val="00163E77"/>
    <w:rPr>
      <w:color w:val="0563C1" w:themeColor="hyperlink"/>
      <w:u w:val="single"/>
    </w:rPr>
  </w:style>
  <w:style w:type="paragraph" w:styleId="Prrafodelista">
    <w:name w:val="List Paragraph"/>
    <w:qFormat/>
    <w:rsid w:val="001C1C71"/>
    <w:pPr>
      <w:spacing w:after="0" w:line="240" w:lineRule="auto"/>
    </w:pPr>
    <w:rPr>
      <w:rFonts w:ascii="Arial" w:eastAsia="Arial" w:hAnsi="Arial" w:cs="Arial"/>
      <w:sz w:val="20"/>
      <w:szCs w:val="20"/>
      <w:lang w:val="es-MX" w:eastAsia="es-MX"/>
    </w:rPr>
  </w:style>
  <w:style w:type="character" w:customStyle="1" w:styleId="Ttulo3Car">
    <w:name w:val="Título 3 Car"/>
    <w:basedOn w:val="Fuentedeprrafopredeter"/>
    <w:link w:val="Ttulo3"/>
    <w:rsid w:val="00B316FA"/>
    <w:rPr>
      <w:rFonts w:ascii="Times New Roman" w:eastAsia="Times New Roman" w:hAnsi="Times New Roman" w:cs="Times New Roman"/>
      <w:color w:val="1F4D78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6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764D6-4614-455D-A303-051DEED8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6</Pages>
  <Words>2540</Words>
  <Characters>13973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CARLOSFC</dc:creator>
  <cp:keywords/>
  <dc:description/>
  <cp:lastModifiedBy>Cuenta Microsoft</cp:lastModifiedBy>
  <cp:revision>23</cp:revision>
  <dcterms:created xsi:type="dcterms:W3CDTF">2026-02-23T19:45:00Z</dcterms:created>
  <dcterms:modified xsi:type="dcterms:W3CDTF">2026-07-07T19:19:00Z</dcterms:modified>
</cp:coreProperties>
</file>